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16a6e8eb364038" /><Relationship Type="http://schemas.openxmlformats.org/package/2006/relationships/metadata/core-properties" Target="/package/services/metadata/core-properties/013b7665d2a148a9a2a96e5f4a90b179.psmdcp" Id="R81a6e6a2879f42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L’OMS passe sous silence la nocivité des produits de soin corporel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2014, la population mondiale a dépensé 108 milliards de dollars américains pour des cosmétiques et des produits de soin corporel. Or, ces articles contiennent d’énormes quantités de substances nocives. Quelques 13 000 substances chimiques sont utilisées dans la fabrication de ces produits, dont 10 % seulement ont été testées quant à leur innocuité. Beaucoup d’entre elles sont des toxiques connus.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2014, la population mondiale a dépensé 108 milliards de dollars américains pour des cosmétiques et des produits de soin corporel. Or, ces articles contiennent d’énormes quantités de substances nocives. Quelques 13 000 substances chimiques sont utilisées dans la fabrication de ces produits, dont 10 % seulement ont été testées quant à leur innocuité. Beaucoup d’entre elles sont des toxiques connus. Les plus dangereuses sont les perturbateurs endocriniens, à savoir des substances que le corps prend pour des hormones et qui détraquent le délicat équilibre hormonal. Les douze perturbateurs endocriniens les plus dangereux sont : le bisphénol A (BPA), la dioxine, l’atrazine, les phtalates, les perchlorates, les retardateurs de flamme, le plomb, le mercure, l’arsenic, les perfluorocarbones (HFC et PFC), l’ester phosphorique et les éthers glycoliques. Nombre de ces substances sont aussi cancérigènes ou toxiques d’une manière générale pour le corps humain.</w:t>
        <w:br/>
        <w:t xml:space="preserve">Selon l’OMS, il suffit parfois d’une quantité infime d’une substance toxique pour causer des dommages à un embryon. Vu l’omniprésence de ces produits de soin nocifs pour la santé, nous nous posons la question suivante : pourquoi l’OMS ne proclame pas un état d’urgence sanitaire comme elle l’a fait récemment pour le virus ZIKA.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vc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http://www.lscv.ch/pages/cosmetiques/cosmetiques_chimiques.html</w:t>
        </w:r>
      </w:hyperlink>
      <w:r w:rsidR="0026191C">
        <w:rPr/>
        <w:br/>
      </w:r>
      <w:r w:rsidR="0026191C">
        <w:rPr/>
        <w:br/>
      </w:r>
      <w:hyperlink w:history="true" r:id="rId22">
        <w:r w:rsidRPr="00F24C6F">
          <w:rPr>
            <w:rStyle w:val="Hyperlink"/>
          </w:rPr>
          <w:rPr>
            <w:sz w:val="18"/>
          </w:rPr>
          <w:t>http://www.sosmcs.org/docs/maladie/substances-incriminees/vigilance-parfum.pdf</w:t>
        </w:r>
      </w:hyperlink>
      <w:r w:rsidRPr="002B28C8">
        <w:t xml:space="preserve">| </w:t>
        <w:rPr>
          <w:sz w:val="18"/>
        </w:rPr>
      </w:r>
      <w:r w:rsidR="0026191C">
        <w:rPr/>
        <w:br/>
      </w:r>
      <w:r w:rsidR="0026191C">
        <w:rPr/>
        <w:br/>
      </w:r>
      <w:hyperlink w:history="true" r:id="rId23">
        <w:r w:rsidRPr="00F24C6F">
          <w:rPr>
            <w:rStyle w:val="Hyperlink"/>
          </w:rPr>
          <w:rPr>
            <w:sz w:val="18"/>
          </w:rPr>
          <w:t>http://penntybio.com/PrestaShop/img/cms/Dossiers/PDF/guide-cosmetox.pdf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4">
        <w:r w:rsidRPr="00F24C6F">
          <w:rPr>
            <w:rStyle w:val="Hyperlink"/>
          </w:rPr>
          <w:t>www.kla.tv/OMS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L’OMS passe sous silence la nocivité des produits de soin corporel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www.kla.tv/8614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scv.ch/pages/cosmetiques/cosmetiques_chimiques.html" TargetMode="External" Id="rId21" /><Relationship Type="http://schemas.openxmlformats.org/officeDocument/2006/relationships/hyperlink" Target="http://www.sosmcs.org/docs/maladie/substances-incriminees/vigilance-parfum.pdf" TargetMode="External" Id="rId22" /><Relationship Type="http://schemas.openxmlformats.org/officeDocument/2006/relationships/hyperlink" Target="http://penntybio.com/PrestaShop/img/cms/Dossiers/PDF/guide-cosmetox.pdf" TargetMode="External" Id="rId23" /><Relationship Type="http://schemas.openxmlformats.org/officeDocument/2006/relationships/hyperlink" Target="https://www.kla.tv/OM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1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L’OMS passe sous silence la nocivité des produits de soin corporel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