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1761ebbdf394b71" /><Relationship Type="http://schemas.openxmlformats.org/package/2006/relationships/metadata/core-properties" Target="/package/services/metadata/core-properties/5694e3ddcb2347b6b9a3ace8eaf33ba2.psmdcp" Id="R9f0e4a57534146c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Plan de la ONU: Identificación biométrica mundial</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Con la excusa de que hay que registrar a los inmigrantes, la ONU y el Banco Mundial planean que a más tardar para el año 2030 todas las personas posean un documento de identificación biométrico, según informes de FindBiometrics.com, que afirman que será utilizado el sistema Biométrico de administración de identidades...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Con la excusa de que hay que registrar a los inmigrantes, la ONU y el Banco Mundial planean que a más tardar para el año 2030 todas las personas posean un documento de identificación biométrico, según informes de FindBiometrics.com, que afirman que será utilizado el sistema Biométrico de administración de identidades, con sus siglas en inglés (BIMS), que recopila datos de rostros, del iris y las huellas dactilares. Estos serían enviados a un banco de datos central en Ginebra. Como suele ocurrir, este proyecto de control total es presentado frecuentemente con la patina de proyecto humanitario. ¿Pero qué pasaría si en algún momento estos datos se coordinaran con los ya proporcionados por las numerosas cámaras de vigilancia instaladas por doquier o aprovechando las Webcam caseras o las pantallas táctiles? La vida de todo el mundo acabará siendo totalmente transparente para el poder. ¿Es eso lo que deseamos?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Msp./sl.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http://www.konjunktion.info/2015/11/agenda-2030-der-un-plan-fuer-eine-weltweit-universelle-biometrische-identifizierung-bis-zum-jahr-2030</w:t>
        </w:r>
      </w:hyperlink>
      <w:r w:rsidR="0026191C">
        <w:rPr/>
        <w:br/>
      </w:r>
      <w:hyperlink w:history="true" r:id="rId22">
        <w:r w:rsidRPr="00F24C6F">
          <w:rPr>
            <w:rStyle w:val="Hyperlink"/>
          </w:rPr>
          <w:rPr>
            <w:sz w:val="18"/>
          </w:rPr>
          <w:t>http://info.kopp-verlag.de/Hintergruende/geostrategie/michael-snyder/uno-bis-2-3-soll-jeder-mensch-einen-biometrischen-ausweis-bekommen.html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Plan de la ONU: Identificación biométrica mundial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www.kla.tv/9079</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28.09.2016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konjunktion.info/2015/11/agenda-2030-der-un-plan-fuer-eine-weltweit-universelle-biometrische-identifizierung-bis-zum-jahr-2030" TargetMode="External" Id="rId21" /><Relationship Type="http://schemas.openxmlformats.org/officeDocument/2006/relationships/hyperlink" Target="http://info.kopp-verlag.de/Hintergruende/geostrategie/michael-snyder/uno-bis-2-3-soll-jeder-mensch-einen-biometrischen-ausweis-bekommen.html"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079"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07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Plan de la ONU: Identificación biométrica mundial</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