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ebf3e137854070" /><Relationship Type="http://schemas.openxmlformats.org/package/2006/relationships/metadata/core-properties" Target="/package/services/metadata/core-properties/ec5845c919e942b5a7ef52ce6742e374.psmdcp" Id="R21ddf91a973c40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Andreas Clauss: Crashkurs Geld und 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 aktuellen Finanzkrise. Neuigkeiten und Besonderheiten zur rechtlichen Lage in Deutschland und der Umgang damit. Praxisorientierte und realitätsbezogene...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Zur aktuellen Finanzkrise. Neuigkeiten und Besonderheiten zur rechtlichen Lage in Deutschland und der Umgang damit. Praxisorientierte und realitätsbezogene...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Andreas Clauss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www.novertis.de</w:t>
        </w:r>
      </w:hyperlink>
      <w:r w:rsidR="0026191C">
        <w:rPr/>
        <w:br/>
      </w:r>
      <w:r w:rsidRPr="002B28C8">
        <w:t xml:space="preserve">a.clauss@novertis.de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Andreas Clauss: Crashkurs Geld und 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overtis.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Andreas Clauss: Crashkurs Geld und 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