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f766de1e4041d9" /><Relationship Type="http://schemas.openxmlformats.org/package/2006/relationships/metadata/core-properties" Target="/package/services/metadata/core-properties/ca4e3d9bde484144a04d9597bf2eb0d0.psmdcp" Id="R561b0d8496074a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Scandale VW – Protection de l’environnement ou guerre économique stratégique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Derrière le scandale des manipulations par VW des résultats d’émissions polluantes aux Etats-Unis, Eberhard Hamer, professeur d’économie et juriste, décèle une logique toute autre : selon Hamer, General Motors a déjà tenté en vain par deux fois d’acquérir le « gros morceau VW » avec le soutien de crédits illimités de la banque fédérale américaine.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Derrière le scandale des manipulations par VW des résultats d’émissions polluantes aux Etats-Unis, Eberhard Hamer, professeur d’économie et juriste, décèle une logique toute autre : selon Hamer, General Motors a déjà tenté en vain par deux fois d’acquérir le « gros morceau VW » avec le soutien de crédits illimités de la banque fédérale américaine. Après ces échecs, les administrations et avocats américains affaiblissent l’entreprise VW d’une manière massive pour, ensuite, l’acheter à un prix dérisoire. Même le journaliste et correspondant de presse Paul Hampel ne voit dans le scandale monté de VW rien d’autre que la destruction du deuxième constructeur automobile du monde. Le professeur Hamer recense les attaques économiques des Etats-Unis qui n’arrêtent pas d’augmenter. Elles touchent particulièrement les bastions économiques allemands qui ne sont pas encore entre les mains américaines.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www.alternativefuer.de/paul-hampel-us-justiz-erklaert-vw-den-krieg-merkel-und-co-schweigen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Scandale VW – Protection de l’environnement ou guerre économique stratégique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ternativefuer.de/paul-hampel-us-justiz-erklaert-vw-den-krieg-merkel-und-co-schweig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Scandale VW – Protection de l’environnement ou guerre économique stratégique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