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a37a7d3c0b47bf" /><Relationship Type="http://schemas.openxmlformats.org/package/2006/relationships/metadata/core-properties" Target="/package/services/metadata/core-properties/f3770066e0b24173b0a72431338dad57.psmdcp" Id="R5b54804171a54c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Hirntod kann nicht mit endgültigem Tod gleichgesetzt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Hirnforscher Professor Dr. Roth sagt seit Beginn der Organtransplantationen, dass der Hirntod des Menschen nicht mit seinem endgültigen Tod gleichgesetzt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Hirnforscher Professor Dr. Roth sagt seit Beginn der Organtransplantationen, dass der Hirntod des Menschen nicht mit seinem endgültigen Tod gleichgesetzt werden kann. „Weder Atemstillstand noch Ausfall der tiefen Hirnstammreflexe […] erfassen mit völliger Sicherheit alle Hirnfunktionen. […] Das Sicherste, was über […] einen Komapatienten überhaupt festgestellt werden kann, ist die Vermutung, dass eine unwiderrufliche Schädigung des Gehirns […] vorliegt und der Patient nicht mehr zu Bewusstsein kommen wird.“ </w:t>
        <w:br/>
        <w:t xml:space="preserve">Dieser Beurteilung, dass ein hirntoter Mensch nicht als tot betrachtet werden kann, schließt sich auch Rainer Beckmann, Richter und Lehrbeauftragter für Medizinrecht, an: „Der lebendige Leib ist das körperliche Zeichen des Vorhandenseins der Seele. Patienten mit ausgefallener Hirnfunktion sind dem Tode nahe, aber nicht tot. Sie müssen daher als Lebende behandelt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http://www.mmnews.de/index.php/i-news/15126-organ-entnahme-ist-mord</w:t>
        </w:r>
      </w:hyperlink>
      <w:r w:rsidR="0026191C">
        <w:rPr/>
        <w:br/>
      </w:r>
      <w:hyperlink w:history="true" r:id="rId22">
        <w:r w:rsidRPr="00F24C6F">
          <w:rPr>
            <w:rStyle w:val="Hyperlink"/>
          </w:rPr>
          <w:rPr>
            <w:sz w:val="18"/>
          </w:rPr>
          <w:t>https://www.kla.tv/8618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Hirntod kann nicht mit endgültigem Tod gleichgesetzt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i-news/15126-organ-entnahme-ist-mord" TargetMode="External" Id="rId21" /><Relationship Type="http://schemas.openxmlformats.org/officeDocument/2006/relationships/hyperlink" Target="https://www.kla.tv/8618"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Hirntod kann nicht mit endgültigem Tod gleichgesetzt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