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2c822adae94f14" /><Relationship Type="http://schemas.openxmlformats.org/package/2006/relationships/metadata/core-properties" Target="/package/services/metadata/core-properties/9caf64794fc948a089785b68b27d7d15.psmdcp" Id="Raef6b05b2b0447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Peter König: water privatisering is crimineel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Zwitserse econoom Peter König werkte 30 jaar bij de Wereldbank en andere banken voor ontwikkelingshulp. Hij heeft in verschillende ontwikkelingslanden vooral waterprojecten gerealiseerd, ook op verschillende continenten. Hij wilde, vol idealisme, ertoe bijdragen de armoede te bestrijden.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Zwitserse econoom Peter König werkte 30 jaar bij de Wereldbank en andere banken voor ontwikkelingshulp. Hij heeft in verschillende ontwikkelingslanden vooral waterprojecten gerealiseerd, ook op verschillende continenten. Hij wilde, vol idealisme, ertoe bijdragen de armoede te bestrijden. In het begin scheen dit ook nog mogelijk. Maar sinds de jaren 80 toonde de Wereldbank steeds meer haar ware gezicht. De Wereldbank was altijd al een instrument van een paar bankiersfamilies, de zogenaamde Amerikaanse financiële oligarchie. Maar toen voerde de Wereldbank de “Washington Consensus” in. Dat wil zeggen dat een land alleen leningen krijgt als het openbare diensten privatiseert zoals gezondheidszorg, opvoeding, onderwijs en watervoorziening. Maar door de privatisering wordt water duur, en onbetaalbaar voor arme mensen. Peter König typeert deze aanpak als crimineel omdat  vrije toegang tot water een mensenrecht 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1">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Peter König: water privatisering is crimineel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www.kla.tv/9893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inanci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9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Peter König: water privatisering is crimineel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