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e8b1a113e94158" /><Relationship Type="http://schemas.openxmlformats.org/package/2006/relationships/metadata/core-properties" Target="/package/services/metadata/core-properties/89792bfebed8409d80b18d5829b36c5c.psmdcp" Id="Rc61539645d5b45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dictature saoudienne, sauveur du système du dollar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Lorsqu’en 1971, la couverture en or du dollar a été abolie et qu’en 1973, les taux de change fixes entre les monnaies internationales ont été abolis, la domination financière globale des États-Unis était sérieusement menacée. Un accord a donc été conclu avec la Maison royale des Al Saoud qui s'est engagée à ne vendre du pétrole qu'en dollars avec effet immédiat. Mais quelles conséquences profondes cet accord aura-t-il pour les deux parties et le système financier global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Lorsqu’en 1971, la couverture en or du dollar a été abolie et qu’en 1973, les taux de change fixes entre les monnaies internationales ont été abolis, la domination financière globale des États-Unis était sérieusement menacée. Un accord a donc été conclu avec la Maison royale des Al Saoud, la famille dirigeante du Royaume d'Arabie Saoudite, l'un des régimes les plus arriérés et les plus cruels sur terre. </w:t>
        <w:br/>
        <w:t xml:space="preserve">Les États-Unis ont obligé avec effet immédiat la maison au pouvoir à ne vendre du pétrole qu’en dollars – le pétrole étant la marchandise la plus échangée dans le monde – et à investir les excédents dans des obligations du gouvernement américain. En retour, les États-Unis ont garanti un approvisionnement illimité en armes, une protection contre des ennemis (par exemple l'Iran !) et contre ses propres sujets. Ainsi, pour un temps illimité, le gouvernement américain a indissociablement lié le sort de son système financier global au maintien de l'une des dictatures les plus terribles du monde.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Mies, Wernicke( Hrsg.): „Fassadendemokratie und Tiefer Staat“, S. 134-136 (Autor: Ernst Wolff) </w:t>
        <w:rPr>
          <w:sz w:val="18"/>
        </w:rPr>
      </w:r>
      <w:r w:rsidR="0026191C">
        <w:rPr/>
        <w:br/>
      </w:r>
      <w:r w:rsidR="0026191C">
        <w:rPr/>
        <w:br/>
      </w:r>
      <w:hyperlink w:history="true" r:id="rId21">
        <w:r w:rsidRPr="00F24C6F">
          <w:rPr>
            <w:rStyle w:val="Hyperlink"/>
          </w:rPr>
          <w:rPr>
            <w:sz w:val="18"/>
          </w:rPr>
          <w:t>www.wiwo.de/politik/ausland/wertverfall-kontrollverlust-im-nahen-osten-beschleunigt-den-wertverfall-des-dollar/8756352-2.html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dictature saoudienne, sauveur du système du dollar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30.06.2018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wo.de/politik/ausland/wertverfall-kontrollverlust-im-nahen-osten-beschleunigt-den-wertverfall-des-dollar/8756352-2.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dictature saoudienne, sauveur du système du dollar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