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250FE" w14:textId="77777777" w:rsidR="002C439E" w:rsidRDefault="007E36B3" w:rsidP="002C439E">
      <w:pPr>
        <w:pStyle w:val="berschrift1"/>
        <w:numPr>
          <w:ilvl w:val="0"/>
          <w:numId w:val="5"/>
        </w:numPr>
        <w:ind w:left="142" w:hanging="284"/>
        <w:rPr>
          <w:i/>
        </w:rPr>
      </w:pPr>
      <w:r w:rsidRPr="00385493">
        <w:rPr>
          <w:b/>
          <w:u w:val="single"/>
        </w:rPr>
        <w:t>Einsprache-Möglichkeit:</w:t>
      </w:r>
      <w:r>
        <w:rPr>
          <w:u w:val="single"/>
        </w:rPr>
        <w:t xml:space="preserve"> </w:t>
      </w:r>
      <w:r w:rsidRPr="007E36B3">
        <w:rPr>
          <w:i/>
        </w:rPr>
        <w:t>Einsprache-Gründe für Hauseigentümer, wegen Antennenstandort:</w:t>
      </w:r>
    </w:p>
    <w:p w14:paraId="5FDA2173" w14:textId="77777777" w:rsidR="002C439E" w:rsidRPr="002C439E" w:rsidRDefault="002C439E" w:rsidP="002C439E"/>
    <w:p w14:paraId="4E42184F" w14:textId="72E70A20" w:rsidR="002C439E" w:rsidRPr="00AC2C66" w:rsidRDefault="00AC2C66" w:rsidP="002C4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</w:rPr>
      </w:pPr>
      <w:r w:rsidRPr="002C439E">
        <w:rPr>
          <w:b/>
          <w:sz w:val="18"/>
        </w:rPr>
        <w:t xml:space="preserve">Dieses Dokument enthält Textausschnitte, die für Einsprachen gegen Mobilfunk-Ausbauten verwendet werden können. Bitte beachten Sie die </w:t>
      </w:r>
      <w:r w:rsidRPr="002C439E">
        <w:rPr>
          <w:b/>
          <w:sz w:val="18"/>
          <w:highlight w:val="yellow"/>
        </w:rPr>
        <w:t>gelb markierten Stellen</w:t>
      </w:r>
      <w:r w:rsidRPr="002C439E">
        <w:rPr>
          <w:b/>
          <w:sz w:val="18"/>
        </w:rPr>
        <w:t xml:space="preserve">. Diese sollten auf Ihre Sachlage angepasst oder im Zweifelsfall entfernt werden. </w:t>
      </w:r>
      <w:r w:rsidR="00C36469">
        <w:rPr>
          <w:b/>
          <w:sz w:val="18"/>
        </w:rPr>
        <w:t>Die einzelnen Textblöcke stammen aus verschiedenen Einsprachen und enthalten evtl. Verdoppelungen. Bei einer Weiterverwendung muss die Zusammensetzung der einzelnen Textbausteine überprüft werden.</w:t>
      </w:r>
      <w:r>
        <w:rPr>
          <w:b/>
          <w:sz w:val="18"/>
        </w:rPr>
        <w:br/>
      </w:r>
      <w:r>
        <w:rPr>
          <w:i/>
          <w:sz w:val="18"/>
        </w:rPr>
        <w:br/>
      </w:r>
      <w:r w:rsidR="002C439E" w:rsidRPr="002C439E">
        <w:rPr>
          <w:i/>
          <w:sz w:val="18"/>
        </w:rPr>
        <w:t>Die nachfolgende Einsprache-Möglichkeit wurde vornehmlich für Antennenstandorte in der Schweiz entwickelt. Diese können aber leicht auch auf die gesetzlichen Rahmenbedingungen andere</w:t>
      </w:r>
      <w:r w:rsidR="00C36469">
        <w:rPr>
          <w:i/>
          <w:sz w:val="18"/>
        </w:rPr>
        <w:t>r</w:t>
      </w:r>
      <w:r w:rsidR="002C439E" w:rsidRPr="002C439E">
        <w:rPr>
          <w:i/>
          <w:sz w:val="18"/>
        </w:rPr>
        <w:t xml:space="preserve"> Länder angewendet werden. Die Prinzipien sind allerorts die gleichen.</w:t>
      </w:r>
      <w:r w:rsidR="00753125">
        <w:rPr>
          <w:i/>
          <w:sz w:val="18"/>
        </w:rPr>
        <w:t xml:space="preserve"> </w:t>
      </w:r>
    </w:p>
    <w:p w14:paraId="5087DF12" w14:textId="77777777" w:rsidR="00D660BC" w:rsidRPr="002C439E" w:rsidRDefault="00D660BC" w:rsidP="00D66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18"/>
        </w:rPr>
      </w:pPr>
      <w:r>
        <w:rPr>
          <w:b/>
          <w:i/>
          <w:sz w:val="18"/>
        </w:rPr>
        <w:t>Da sich die politische Lage aufgrund neuer Gerichtsurteile etc. ständig ändert, sind gewisse Textpassagen evtl. bereits nicht mehr auf dem aktuellsten Stand. Wir empfehlen, folgende weiterführenden Links zu sichten</w:t>
      </w:r>
      <w:r w:rsidRPr="002C439E">
        <w:rPr>
          <w:b/>
          <w:i/>
          <w:sz w:val="18"/>
        </w:rPr>
        <w:t>:</w:t>
      </w:r>
    </w:p>
    <w:p w14:paraId="463D409E" w14:textId="77777777" w:rsidR="002C439E" w:rsidRPr="002C439E" w:rsidRDefault="00D660BC" w:rsidP="002C4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link"/>
          <w:sz w:val="18"/>
        </w:rPr>
      </w:pPr>
      <w:hyperlink r:id="rId5" w:history="1">
        <w:r w:rsidR="002C439E" w:rsidRPr="002C439E">
          <w:rPr>
            <w:rStyle w:val="Hyperlink"/>
            <w:sz w:val="18"/>
          </w:rPr>
          <w:t>www.diagnose-funk.org</w:t>
        </w:r>
      </w:hyperlink>
    </w:p>
    <w:p w14:paraId="36E4D819" w14:textId="77777777" w:rsidR="002C439E" w:rsidRPr="002C439E" w:rsidRDefault="002C439E" w:rsidP="002C43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FF"/>
          <w:sz w:val="18"/>
          <w:u w:val="single"/>
        </w:rPr>
      </w:pPr>
      <w:r w:rsidRPr="002C439E">
        <w:rPr>
          <w:rStyle w:val="Hyperlink"/>
          <w:sz w:val="18"/>
        </w:rPr>
        <w:t>www.schutz-vor-strahlung.ch</w:t>
      </w:r>
    </w:p>
    <w:p w14:paraId="044303BD" w14:textId="77777777" w:rsidR="007E36B3" w:rsidRDefault="007E36B3"/>
    <w:p w14:paraId="19F3162C" w14:textId="77777777" w:rsidR="00A27A01" w:rsidRDefault="00A27A01" w:rsidP="00A27A01">
      <w:pPr>
        <w:pStyle w:val="FormatvorlageTextkrperRzVerdanaBlockZeilenabstand15Zeilen"/>
        <w:ind w:left="567" w:hanging="567"/>
        <w:rPr>
          <w:szCs w:val="22"/>
        </w:rPr>
      </w:pPr>
      <w:r w:rsidRPr="00A3648B">
        <w:rPr>
          <w:szCs w:val="22"/>
        </w:rPr>
        <w:t>Laut ZGB Art. 679 u. 684 ist grundsätzlich der Besitzer des Grundstückes haftbar und nicht die Mobilfunkbetreiberin</w:t>
      </w:r>
      <w:r>
        <w:rPr>
          <w:szCs w:val="22"/>
        </w:rPr>
        <w:t xml:space="preserve">. </w:t>
      </w:r>
      <w:r w:rsidRPr="00A3648B">
        <w:rPr>
          <w:szCs w:val="22"/>
        </w:rPr>
        <w:t xml:space="preserve">Im Schadensfall </w:t>
      </w:r>
      <w:r>
        <w:rPr>
          <w:szCs w:val="22"/>
        </w:rPr>
        <w:t>hätte dies zur Folge</w:t>
      </w:r>
      <w:r w:rsidRPr="00A3648B">
        <w:rPr>
          <w:szCs w:val="22"/>
        </w:rPr>
        <w:t xml:space="preserve">, dass die Gebäudehaftpflicht des Versicherten </w:t>
      </w:r>
      <w:r>
        <w:rPr>
          <w:szCs w:val="22"/>
        </w:rPr>
        <w:t>Schadenersatzansprüche von Dritten aufgrund nicht-</w:t>
      </w:r>
      <w:r w:rsidRPr="00A3648B">
        <w:rPr>
          <w:szCs w:val="22"/>
        </w:rPr>
        <w:t>ionisierende</w:t>
      </w:r>
      <w:r>
        <w:rPr>
          <w:szCs w:val="22"/>
        </w:rPr>
        <w:t>r</w:t>
      </w:r>
      <w:r w:rsidRPr="00A3648B">
        <w:rPr>
          <w:szCs w:val="22"/>
        </w:rPr>
        <w:t xml:space="preserve"> Strahlung nicht </w:t>
      </w:r>
      <w:r>
        <w:rPr>
          <w:szCs w:val="22"/>
        </w:rPr>
        <w:t>nachkommen würde</w:t>
      </w:r>
      <w:r w:rsidRPr="00A3648B">
        <w:rPr>
          <w:szCs w:val="22"/>
        </w:rPr>
        <w:t xml:space="preserve">. </w:t>
      </w:r>
      <w:r>
        <w:rPr>
          <w:szCs w:val="22"/>
        </w:rPr>
        <w:t>Z</w:t>
      </w:r>
      <w:r w:rsidRPr="00A3648B">
        <w:rPr>
          <w:szCs w:val="22"/>
        </w:rPr>
        <w:t>udem ist die Versicherung berechtigt, bei Eintritt des 1. ersatzpflichtigen Schadens, der die Renditegrenze der Versicherung sprengen würde, den Vertrag ganz oder teilweise zu kündigen</w:t>
      </w:r>
      <w:r>
        <w:rPr>
          <w:szCs w:val="22"/>
        </w:rPr>
        <w:t>.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134"/>
        <w:gridCol w:w="6096"/>
        <w:gridCol w:w="937"/>
      </w:tblGrid>
      <w:tr w:rsidR="00A27A01" w:rsidRPr="00751E8B" w14:paraId="35F9EFF5" w14:textId="77777777" w:rsidTr="00A3673A">
        <w:tc>
          <w:tcPr>
            <w:tcW w:w="1134" w:type="dxa"/>
            <w:shd w:val="clear" w:color="auto" w:fill="auto"/>
          </w:tcPr>
          <w:p w14:paraId="1DA6456B" w14:textId="77777777" w:rsidR="00A27A01" w:rsidRPr="00E5177A" w:rsidRDefault="00A27A01" w:rsidP="00A3673A">
            <w:pPr>
              <w:spacing w:line="360" w:lineRule="auto"/>
              <w:contextualSpacing/>
              <w:jc w:val="both"/>
              <w:rPr>
                <w:rFonts w:ascii="Verdana" w:hAnsi="Verdana" w:cs="Arial"/>
                <w:b/>
                <w:sz w:val="19"/>
                <w:szCs w:val="19"/>
              </w:rPr>
            </w:pPr>
            <w:r w:rsidRPr="00E5177A">
              <w:rPr>
                <w:rFonts w:ascii="Verdana" w:hAnsi="Verdana" w:cs="Arial"/>
                <w:b/>
                <w:sz w:val="19"/>
                <w:szCs w:val="19"/>
              </w:rPr>
              <w:t>Beweis:</w:t>
            </w:r>
          </w:p>
        </w:tc>
        <w:tc>
          <w:tcPr>
            <w:tcW w:w="6096" w:type="dxa"/>
            <w:shd w:val="clear" w:color="auto" w:fill="auto"/>
          </w:tcPr>
          <w:p w14:paraId="0EC1CC87" w14:textId="77777777" w:rsidR="00A27A01" w:rsidRPr="00E5177A" w:rsidRDefault="00A27A01" w:rsidP="00A3673A">
            <w:pPr>
              <w:spacing w:line="360" w:lineRule="auto"/>
              <w:contextualSpacing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5177A">
              <w:rPr>
                <w:rFonts w:ascii="Verdana" w:hAnsi="Verdana" w:cs="Arial"/>
                <w:sz w:val="19"/>
                <w:szCs w:val="19"/>
              </w:rPr>
              <w:t>Gebäudehaftpflicht «Allianz» AGB</w:t>
            </w:r>
          </w:p>
        </w:tc>
        <w:tc>
          <w:tcPr>
            <w:tcW w:w="937" w:type="dxa"/>
            <w:shd w:val="clear" w:color="auto" w:fill="auto"/>
          </w:tcPr>
          <w:p w14:paraId="3BD0026D" w14:textId="01580AE8" w:rsidR="00A27A01" w:rsidRPr="00A1709F" w:rsidRDefault="00A27A01" w:rsidP="00A3673A">
            <w:pPr>
              <w:spacing w:line="360" w:lineRule="auto"/>
              <w:contextualSpacing/>
              <w:jc w:val="right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proofErr w:type="spellStart"/>
            <w:r w:rsidRPr="00E5177A">
              <w:rPr>
                <w:rFonts w:ascii="Verdana" w:hAnsi="Verdana" w:cs="Arial"/>
                <w:b/>
                <w:bCs/>
                <w:sz w:val="19"/>
                <w:szCs w:val="19"/>
              </w:rPr>
              <w:t>Dok</w:t>
            </w:r>
            <w:proofErr w:type="spellEnd"/>
            <w:r w:rsidRPr="00E5177A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1</w:t>
            </w:r>
            <w:r w:rsidR="00615643">
              <w:rPr>
                <w:rFonts w:ascii="Verdana" w:hAnsi="Verdana" w:cs="Arial"/>
                <w:b/>
                <w:bCs/>
                <w:sz w:val="19"/>
                <w:szCs w:val="19"/>
              </w:rPr>
              <w:t>a</w:t>
            </w:r>
          </w:p>
        </w:tc>
      </w:tr>
    </w:tbl>
    <w:p w14:paraId="5077541B" w14:textId="77777777" w:rsidR="00A27A01" w:rsidRPr="00A3648B" w:rsidRDefault="00A27A01" w:rsidP="00A27A01">
      <w:pPr>
        <w:pStyle w:val="FormatvorlageTextkrperRzVerdanaBlockZeilenabstand15Zeilen"/>
        <w:numPr>
          <w:ilvl w:val="0"/>
          <w:numId w:val="0"/>
        </w:numPr>
        <w:ind w:left="567"/>
        <w:rPr>
          <w:szCs w:val="22"/>
        </w:rPr>
      </w:pPr>
    </w:p>
    <w:p w14:paraId="0CE2824D" w14:textId="77777777" w:rsidR="00A27A01" w:rsidRPr="00D41C72" w:rsidRDefault="00A27A01" w:rsidP="00A27A01">
      <w:pPr>
        <w:pStyle w:val="FormatvorlageTextkrperRzVerdanaBlockZeilenabstand15Zeilen"/>
        <w:ind w:left="567" w:hanging="567"/>
        <w:rPr>
          <w:szCs w:val="22"/>
        </w:rPr>
      </w:pPr>
      <w:r w:rsidRPr="004D5D23">
        <w:rPr>
          <w:szCs w:val="22"/>
        </w:rPr>
        <w:t xml:space="preserve">Hier gilt es weiter </w:t>
      </w:r>
      <w:r>
        <w:rPr>
          <w:szCs w:val="22"/>
        </w:rPr>
        <w:t>folgenden</w:t>
      </w:r>
      <w:r w:rsidRPr="004D5D23">
        <w:rPr>
          <w:szCs w:val="22"/>
        </w:rPr>
        <w:t xml:space="preserve"> Vergleich zu betrachten: Jeder / Jede Autolenker/in kann potenziell andere Verkehrsteilnehmer/innen schädigen. Um das Risiko abzusichern, muss der </w:t>
      </w:r>
      <w:r w:rsidRPr="00D41C72">
        <w:rPr>
          <w:szCs w:val="22"/>
        </w:rPr>
        <w:t xml:space="preserve">potenzielle Verursacher vor Inbetriebnahme seines Autos eine Haftpflichtversicherung abschliessen. In unserem Fall ist uns nicht bekannt, dass irgendeine Versicherung nicht-ionisierende Strahlung versichert, bzw. die Haftpflicht dafür übernimmt. Zudem kann ein/e Verkehrsteilnehmer/in nur eine beschränkte Anzahl von anderem Teilnehmer/innen in einen Schadensfall verwickeln. Das Risiko bleibt überschaubar. Im Falle der Mobilfunkhaftung ist eine nicht-ionisierende Strahlungsquelle potenziell fähig, ein ganzes Dorf oder darüber hinaus, in einen Schadensfall zu verwickeln. Diesem hohen, potenziellen Haftungsrisiko stünde die </w:t>
      </w:r>
      <w:r w:rsidRPr="00D2464C">
        <w:rPr>
          <w:szCs w:val="22"/>
          <w:highlight w:val="yellow"/>
        </w:rPr>
        <w:t>Firma</w:t>
      </w:r>
      <w:r w:rsidR="00D2464C" w:rsidRPr="00D2464C">
        <w:rPr>
          <w:szCs w:val="22"/>
          <w:highlight w:val="yellow"/>
        </w:rPr>
        <w:t xml:space="preserve"> / Privatperson</w:t>
      </w:r>
      <w:r w:rsidRPr="00D2464C">
        <w:rPr>
          <w:szCs w:val="22"/>
          <w:highlight w:val="yellow"/>
        </w:rPr>
        <w:t xml:space="preserve"> </w:t>
      </w:r>
      <w:r w:rsidR="00D2464C" w:rsidRPr="00D2464C">
        <w:rPr>
          <w:szCs w:val="22"/>
          <w:highlight w:val="yellow"/>
        </w:rPr>
        <w:t>XYZ</w:t>
      </w:r>
      <w:r w:rsidRPr="00D41C72">
        <w:rPr>
          <w:szCs w:val="22"/>
        </w:rPr>
        <w:t xml:space="preserve"> als Grundeigentümerin gegenüber. </w:t>
      </w:r>
      <w:r w:rsidRPr="00D41C72">
        <w:rPr>
          <w:szCs w:val="22"/>
        </w:rPr>
        <w:lastRenderedPageBreak/>
        <w:t xml:space="preserve">Daraus resultiert eine klare Einschätzung, dass die </w:t>
      </w:r>
      <w:r w:rsidR="00D2464C" w:rsidRPr="00D2464C">
        <w:rPr>
          <w:szCs w:val="22"/>
          <w:highlight w:val="yellow"/>
        </w:rPr>
        <w:t>Firma / Privatperson XYZ</w:t>
      </w:r>
      <w:r w:rsidR="00D2464C" w:rsidRPr="00D41C72">
        <w:rPr>
          <w:szCs w:val="22"/>
        </w:rPr>
        <w:t xml:space="preserve"> </w:t>
      </w:r>
      <w:r w:rsidRPr="00D41C72">
        <w:rPr>
          <w:szCs w:val="22"/>
        </w:rPr>
        <w:t>wahrscheinlich nicht in der Lage sein wird, diesem erhöhten Risiko im Schadensfall gerecht zu werden.</w:t>
      </w:r>
    </w:p>
    <w:p w14:paraId="68AD8C6D" w14:textId="77777777" w:rsidR="00A27A01" w:rsidRPr="00D2464C" w:rsidRDefault="00A27A01" w:rsidP="00D2464C">
      <w:pPr>
        <w:pStyle w:val="FormatvorlageTextkrperRzVerdanaBlockZeilenabstand15Zeilen"/>
        <w:ind w:left="567" w:hanging="567"/>
        <w:rPr>
          <w:szCs w:val="22"/>
        </w:rPr>
      </w:pPr>
      <w:r w:rsidRPr="00BD6C34">
        <w:rPr>
          <w:szCs w:val="22"/>
        </w:rPr>
        <w:t xml:space="preserve">Weiter ist anzunehmen, dass es in Bezug auf die </w:t>
      </w:r>
      <w:r>
        <w:rPr>
          <w:szCs w:val="22"/>
        </w:rPr>
        <w:t>Mobilfunk-</w:t>
      </w:r>
      <w:r w:rsidRPr="00BD6C34">
        <w:rPr>
          <w:szCs w:val="22"/>
        </w:rPr>
        <w:t xml:space="preserve">Haftungsfrage eine nationale Gesetzesänderung gibt. </w:t>
      </w:r>
      <w:r w:rsidRPr="00D2464C">
        <w:rPr>
          <w:szCs w:val="22"/>
        </w:rPr>
        <w:t xml:space="preserve">In diesem Falle müssten Schadensersatzansprüche direkt an </w:t>
      </w:r>
      <w:r w:rsidRPr="00D2464C">
        <w:rPr>
          <w:szCs w:val="22"/>
          <w:highlight w:val="yellow"/>
        </w:rPr>
        <w:t xml:space="preserve">die </w:t>
      </w:r>
      <w:r w:rsidR="00D2464C" w:rsidRPr="00D2464C">
        <w:rPr>
          <w:szCs w:val="22"/>
          <w:highlight w:val="yellow"/>
        </w:rPr>
        <w:t>Mobilfunkbetreiberin</w:t>
      </w:r>
      <w:r w:rsidRPr="00D2464C">
        <w:rPr>
          <w:szCs w:val="22"/>
        </w:rPr>
        <w:t xml:space="preserve"> gerichtet werden. </w:t>
      </w:r>
      <w:r w:rsidRPr="00D2464C">
        <w:rPr>
          <w:i/>
          <w:iCs/>
          <w:szCs w:val="22"/>
          <w:highlight w:val="yellow"/>
        </w:rPr>
        <w:t xml:space="preserve">Dabei ist zu beachten, dass die </w:t>
      </w:r>
      <w:r w:rsidR="00D2464C">
        <w:rPr>
          <w:i/>
          <w:iCs/>
          <w:szCs w:val="22"/>
          <w:highlight w:val="yellow"/>
        </w:rPr>
        <w:t>Mobilfunkbetreiberin</w:t>
      </w:r>
      <w:r w:rsidRPr="00D2464C">
        <w:rPr>
          <w:i/>
          <w:iCs/>
          <w:szCs w:val="22"/>
          <w:highlight w:val="yellow"/>
        </w:rPr>
        <w:t xml:space="preserve"> an eine spanische Firma verkauft wurde</w:t>
      </w:r>
      <w:r w:rsidRPr="00D2464C">
        <w:rPr>
          <w:szCs w:val="22"/>
          <w:highlight w:val="yellow"/>
        </w:rPr>
        <w:t>.</w:t>
      </w:r>
      <w:r w:rsidRPr="00D2464C">
        <w:rPr>
          <w:szCs w:val="22"/>
        </w:rPr>
        <w:t xml:space="preserve"> Alle Geschädigten dürften dann nach </w:t>
      </w:r>
      <w:r w:rsidRPr="00D2464C">
        <w:rPr>
          <w:szCs w:val="22"/>
          <w:highlight w:val="yellow"/>
        </w:rPr>
        <w:t>Spanien</w:t>
      </w:r>
      <w:r w:rsidRPr="00D2464C">
        <w:rPr>
          <w:szCs w:val="22"/>
        </w:rPr>
        <w:t xml:space="preserve"> reisen und dort mittels </w:t>
      </w:r>
      <w:r w:rsidRPr="00D2464C">
        <w:rPr>
          <w:szCs w:val="22"/>
          <w:highlight w:val="yellow"/>
        </w:rPr>
        <w:t>spanischer</w:t>
      </w:r>
      <w:r w:rsidRPr="00D2464C">
        <w:rPr>
          <w:szCs w:val="22"/>
        </w:rPr>
        <w:t xml:space="preserve"> Rechtshilfe, einen </w:t>
      </w:r>
      <w:r w:rsidRPr="00D2464C">
        <w:rPr>
          <w:szCs w:val="22"/>
          <w:highlight w:val="yellow"/>
        </w:rPr>
        <w:t>spanischen</w:t>
      </w:r>
      <w:r w:rsidRPr="00D2464C">
        <w:rPr>
          <w:szCs w:val="22"/>
        </w:rPr>
        <w:t xml:space="preserve"> Gerichtsprozess starten. Zudem ist es sehr unsicher, ob die Geschädigten aufgrund von Corona-Massnahmen überhaupt noch zu einem </w:t>
      </w:r>
      <w:r w:rsidRPr="00D2464C">
        <w:rPr>
          <w:szCs w:val="22"/>
          <w:highlight w:val="yellow"/>
        </w:rPr>
        <w:t>spanischen</w:t>
      </w:r>
      <w:r w:rsidRPr="00D2464C">
        <w:rPr>
          <w:szCs w:val="22"/>
        </w:rPr>
        <w:t xml:space="preserve"> Gericht reisen dürfen!</w:t>
      </w:r>
    </w:p>
    <w:p w14:paraId="64F1243C" w14:textId="77777777" w:rsidR="00A27A01" w:rsidRPr="00376E00" w:rsidRDefault="00A27A01" w:rsidP="00A27A01">
      <w:pPr>
        <w:pStyle w:val="FormatvorlageTextkrperRzVerdanaBlockZeilenabstand15Zeilen"/>
        <w:ind w:left="567" w:hanging="567"/>
        <w:rPr>
          <w:szCs w:val="22"/>
        </w:rPr>
      </w:pPr>
      <w:r w:rsidRPr="002D7BCC">
        <w:rPr>
          <w:szCs w:val="22"/>
        </w:rPr>
        <w:t xml:space="preserve">Eine weitere Risikokonstellation muss betrachtet werden: Würde die </w:t>
      </w:r>
      <w:r w:rsidR="00D2464C" w:rsidRPr="00D2464C">
        <w:rPr>
          <w:szCs w:val="22"/>
          <w:highlight w:val="yellow"/>
        </w:rPr>
        <w:t>Firma / Privatperson XYZ</w:t>
      </w:r>
      <w:r w:rsidR="00D2464C" w:rsidRPr="00D41C72">
        <w:rPr>
          <w:szCs w:val="22"/>
        </w:rPr>
        <w:t xml:space="preserve"> </w:t>
      </w:r>
      <w:r>
        <w:rPr>
          <w:szCs w:val="22"/>
        </w:rPr>
        <w:t xml:space="preserve">gemäss OR Art. 261b </w:t>
      </w:r>
      <w:r w:rsidR="00D2464C" w:rsidRPr="00D2464C">
        <w:rPr>
          <w:szCs w:val="22"/>
          <w:highlight w:val="yellow"/>
        </w:rPr>
        <w:t>der Mobilfunkbetreiberin</w:t>
      </w:r>
      <w:r w:rsidRPr="002D7BCC">
        <w:rPr>
          <w:szCs w:val="22"/>
        </w:rPr>
        <w:t xml:space="preserve"> ein dauerhaftes Standortrecht zusprechen und löste sich </w:t>
      </w:r>
      <w:r w:rsidR="00D2464C" w:rsidRPr="00D2464C">
        <w:rPr>
          <w:szCs w:val="22"/>
          <w:highlight w:val="yellow"/>
        </w:rPr>
        <w:t>Firma / Privatperson XYZ</w:t>
      </w:r>
      <w:r w:rsidR="00D2464C" w:rsidRPr="002D7BCC">
        <w:rPr>
          <w:szCs w:val="22"/>
        </w:rPr>
        <w:t xml:space="preserve"> </w:t>
      </w:r>
      <w:r w:rsidRPr="002D7BCC">
        <w:rPr>
          <w:szCs w:val="22"/>
        </w:rPr>
        <w:t>auf, würde die Antenne ohne Haftungsabdeckung am Ort stehen bleiben. Falls der Bund zu einem späteren Zeitpunkt die Vorschriften ändern würde</w:t>
      </w:r>
      <w:r>
        <w:rPr>
          <w:szCs w:val="22"/>
        </w:rPr>
        <w:t>, in der</w:t>
      </w:r>
      <w:r w:rsidRPr="002D7BCC">
        <w:rPr>
          <w:szCs w:val="22"/>
        </w:rPr>
        <w:t xml:space="preserve"> Meinung, dass zum Zeitpunkt der Baubewilligung keine Vorschriftsverletzung erkennbar war, wäre gemäss OR Art. 41, keine spätere Haftung möglich. Dies, weil zum Zeitpunkt </w:t>
      </w:r>
      <w:r w:rsidRPr="00E20D70">
        <w:rPr>
          <w:szCs w:val="22"/>
        </w:rPr>
        <w:t xml:space="preserve">der Schadensverursachung keine </w:t>
      </w:r>
      <w:proofErr w:type="spellStart"/>
      <w:r w:rsidRPr="00E20D70">
        <w:rPr>
          <w:szCs w:val="22"/>
        </w:rPr>
        <w:t>Sorgfaltspflichtsverletzungen</w:t>
      </w:r>
      <w:proofErr w:type="spellEnd"/>
      <w:r w:rsidRPr="00E20D70">
        <w:rPr>
          <w:szCs w:val="22"/>
        </w:rPr>
        <w:t xml:space="preserve"> vorlagen.</w:t>
      </w:r>
      <w:r>
        <w:rPr>
          <w:szCs w:val="22"/>
        </w:rPr>
        <w:t xml:space="preserve"> Die betroffenen Bürger appellieren an den </w:t>
      </w:r>
      <w:r>
        <w:t xml:space="preserve">menschlichen Gerechtigkeitssinn und bitten Sie, dieses potenziell leidige Szenario keinem Bürger und keiner Bürgerin von </w:t>
      </w:r>
      <w:r w:rsidR="00D2464C" w:rsidRPr="00D2464C">
        <w:rPr>
          <w:highlight w:val="yellow"/>
        </w:rPr>
        <w:t>Ortschaft XYZ</w:t>
      </w:r>
      <w:r>
        <w:t xml:space="preserve"> zuzumuten.</w:t>
      </w:r>
    </w:p>
    <w:p w14:paraId="12080E8E" w14:textId="77777777" w:rsidR="00385493" w:rsidRDefault="00385493"/>
    <w:p w14:paraId="5A23219F" w14:textId="77777777" w:rsidR="00025BFB" w:rsidRDefault="00025BFB"/>
    <w:p w14:paraId="10CDA7E8" w14:textId="77777777" w:rsidR="009C4780" w:rsidRDefault="009C4780"/>
    <w:p w14:paraId="3CAF2C46" w14:textId="77777777" w:rsidR="009C4780" w:rsidRDefault="009C4780"/>
    <w:p w14:paraId="27424DBA" w14:textId="77777777" w:rsidR="007E36B3" w:rsidRDefault="007E36B3"/>
    <w:p w14:paraId="35AC994F" w14:textId="77777777" w:rsidR="007E36B3" w:rsidRDefault="007E36B3"/>
    <w:p w14:paraId="39824324" w14:textId="77777777" w:rsidR="007E36B3" w:rsidRDefault="007E36B3"/>
    <w:sectPr w:rsidR="007E36B3" w:rsidSect="002C439E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leway">
    <w:altName w:val="Trebuchet MS"/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00EA2"/>
    <w:multiLevelType w:val="hybridMultilevel"/>
    <w:tmpl w:val="19A06460"/>
    <w:lvl w:ilvl="0" w:tplc="9AF2D37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11679"/>
    <w:multiLevelType w:val="hybridMultilevel"/>
    <w:tmpl w:val="9A46205A"/>
    <w:lvl w:ilvl="0" w:tplc="5D6E993E">
      <w:start w:val="1"/>
      <w:numFmt w:val="decimal"/>
      <w:pStyle w:val="TextkrperRz"/>
      <w:lvlText w:val="%1"/>
      <w:lvlJc w:val="left"/>
      <w:pPr>
        <w:ind w:left="720" w:hanging="360"/>
      </w:pPr>
      <w:rPr>
        <w:rFonts w:hint="default"/>
        <w:sz w:val="16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606FC"/>
    <w:multiLevelType w:val="hybridMultilevel"/>
    <w:tmpl w:val="56C4F43E"/>
    <w:lvl w:ilvl="0" w:tplc="9F1ED79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A4035"/>
    <w:multiLevelType w:val="hybridMultilevel"/>
    <w:tmpl w:val="34D88C36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601A3"/>
    <w:multiLevelType w:val="hybridMultilevel"/>
    <w:tmpl w:val="962469EE"/>
    <w:lvl w:ilvl="0" w:tplc="AF027D0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6B3"/>
    <w:rsid w:val="00025BFB"/>
    <w:rsid w:val="002C439E"/>
    <w:rsid w:val="00354750"/>
    <w:rsid w:val="00385493"/>
    <w:rsid w:val="003B64C7"/>
    <w:rsid w:val="00615643"/>
    <w:rsid w:val="00753125"/>
    <w:rsid w:val="007E36B3"/>
    <w:rsid w:val="009C4780"/>
    <w:rsid w:val="00A27A01"/>
    <w:rsid w:val="00AC2C66"/>
    <w:rsid w:val="00C0118D"/>
    <w:rsid w:val="00C36469"/>
    <w:rsid w:val="00D2464C"/>
    <w:rsid w:val="00D6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9CCBB9"/>
  <w15:chartTrackingRefBased/>
  <w15:docId w15:val="{F21A9173-7711-4A1C-A0BB-FCFB1B02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E36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E36B3"/>
    <w:pPr>
      <w:spacing w:line="256" w:lineRule="auto"/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E36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85493"/>
    <w:rPr>
      <w:color w:val="0000FF"/>
      <w:u w:val="single"/>
    </w:rPr>
  </w:style>
  <w:style w:type="paragraph" w:customStyle="1" w:styleId="TextkrperRz">
    <w:name w:val="Textkörper Rz"/>
    <w:basedOn w:val="Textkrper"/>
    <w:qFormat/>
    <w:rsid w:val="00A27A01"/>
    <w:pPr>
      <w:numPr>
        <w:numId w:val="4"/>
      </w:numPr>
      <w:spacing w:before="180" w:after="180" w:line="288" w:lineRule="auto"/>
    </w:pPr>
    <w:rPr>
      <w:rFonts w:ascii="Raleway" w:eastAsia="Times New Roman" w:hAnsi="Raleway" w:cs="Times New Roman"/>
      <w:lang w:eastAsia="de-CH"/>
    </w:rPr>
  </w:style>
  <w:style w:type="paragraph" w:customStyle="1" w:styleId="FormatvorlageTextkrperRzVerdanaBlockZeilenabstand15Zeilen">
    <w:name w:val="Formatvorlage Textkörper Rz + Verdana Block Zeilenabstand:  1.5 Zeilen"/>
    <w:basedOn w:val="TextkrperRz"/>
    <w:rsid w:val="00A27A01"/>
    <w:pPr>
      <w:spacing w:after="240" w:line="360" w:lineRule="auto"/>
      <w:jc w:val="both"/>
    </w:pPr>
    <w:rPr>
      <w:rFonts w:ascii="Verdana" w:hAnsi="Verdana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A27A0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27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agnose-funk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3494</Characters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2021-03-31T09:12:00Z</dcterms:created>
  <dcterms:modified xsi:type="dcterms:W3CDTF">2021-04-17T07:34:00Z</dcterms:modified>
</cp:coreProperties>
</file>