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E2BDB" w14:textId="77777777" w:rsidR="002C439E" w:rsidRDefault="007E36B3" w:rsidP="00F2303D">
      <w:pPr>
        <w:pStyle w:val="berschrift1"/>
        <w:numPr>
          <w:ilvl w:val="0"/>
          <w:numId w:val="14"/>
        </w:numPr>
        <w:rPr>
          <w:i/>
        </w:rPr>
      </w:pPr>
      <w:r w:rsidRPr="00385493">
        <w:rPr>
          <w:b/>
          <w:u w:val="single"/>
        </w:rPr>
        <w:t>Einsprache-Möglichkeit:</w:t>
      </w:r>
      <w:r>
        <w:rPr>
          <w:u w:val="single"/>
        </w:rPr>
        <w:t xml:space="preserve"> </w:t>
      </w:r>
      <w:r w:rsidR="00F2303D" w:rsidRPr="00F2303D">
        <w:rPr>
          <w:i/>
        </w:rPr>
        <w:t>Nachrechnen der Strahlungsbelastungs-Prognosen im Baugesuch</w:t>
      </w:r>
    </w:p>
    <w:p w14:paraId="581579AD" w14:textId="77777777" w:rsidR="002C439E" w:rsidRPr="002C439E" w:rsidRDefault="002C439E" w:rsidP="002C439E"/>
    <w:p w14:paraId="4AE9CB45" w14:textId="40DB232C" w:rsidR="002C439E" w:rsidRPr="00AC2C66" w:rsidRDefault="00AC2C66" w:rsidP="002C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2C439E">
        <w:rPr>
          <w:b/>
          <w:sz w:val="18"/>
        </w:rPr>
        <w:t xml:space="preserve">Dieses Dokument enthält Textausschnitte, die für Einsprachen gegen Mobilfunk-Ausbauten verwendet werden können. Bitte beachten Sie die </w:t>
      </w:r>
      <w:r w:rsidRPr="002C439E">
        <w:rPr>
          <w:b/>
          <w:sz w:val="18"/>
          <w:highlight w:val="yellow"/>
        </w:rPr>
        <w:t>gelb markierten Stellen</w:t>
      </w:r>
      <w:r w:rsidRPr="002C439E">
        <w:rPr>
          <w:b/>
          <w:sz w:val="18"/>
        </w:rPr>
        <w:t xml:space="preserve">. Diese sollten auf Ihre Sachlage angepasst oder im Zweifelsfall entfernt werden. </w:t>
      </w:r>
      <w:r w:rsidR="00D7559C">
        <w:rPr>
          <w:b/>
          <w:sz w:val="18"/>
        </w:rPr>
        <w:t>Die einzelnen Textblöcke stammen aus verschiedenen Einsprachen und enthalten evtl. Verdoppelungen. Bei einer Weiterverwendung muss die Zusammensetzung der einzelnen Textbausteine überprüft werden.</w:t>
      </w:r>
      <w:r>
        <w:rPr>
          <w:b/>
          <w:sz w:val="18"/>
        </w:rPr>
        <w:br/>
      </w:r>
      <w:r>
        <w:rPr>
          <w:i/>
          <w:sz w:val="18"/>
        </w:rPr>
        <w:br/>
      </w:r>
      <w:r w:rsidR="002C439E" w:rsidRPr="002C439E">
        <w:rPr>
          <w:i/>
          <w:sz w:val="18"/>
        </w:rPr>
        <w:t>Die nachfolgende Einsprache-Möglichkeit wurde vornehmlich für Antennenstandorte in der Schweiz entwickelt. Diese können aber leicht auch auf die gesetzlichen Rahmenbedingungen andere</w:t>
      </w:r>
      <w:r w:rsidR="00D7559C">
        <w:rPr>
          <w:i/>
          <w:sz w:val="18"/>
        </w:rPr>
        <w:t>r</w:t>
      </w:r>
      <w:r w:rsidR="002C439E" w:rsidRPr="002C439E">
        <w:rPr>
          <w:i/>
          <w:sz w:val="18"/>
        </w:rPr>
        <w:t xml:space="preserve"> Länder angewendet werden. Die Prinzipien sind allerorts die gleichen.</w:t>
      </w:r>
    </w:p>
    <w:p w14:paraId="1B162E1B" w14:textId="77777777" w:rsidR="00901386" w:rsidRPr="002C439E" w:rsidRDefault="00901386" w:rsidP="00901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18"/>
        </w:rPr>
      </w:pPr>
      <w:r>
        <w:rPr>
          <w:b/>
          <w:i/>
          <w:sz w:val="18"/>
        </w:rPr>
        <w:t>Da sich die politische Lage aufgrund neuer Gerichtsurteile etc. ständig ändert, sind gewisse Textpassagen evtl. bereits nicht mehr auf dem aktuellsten Stand. Wir empfehlen, folgende weiterführenden Links zu sichten</w:t>
      </w:r>
      <w:r w:rsidRPr="002C439E">
        <w:rPr>
          <w:b/>
          <w:i/>
          <w:sz w:val="18"/>
        </w:rPr>
        <w:t>:</w:t>
      </w:r>
    </w:p>
    <w:p w14:paraId="486FE352" w14:textId="77777777" w:rsidR="002C439E" w:rsidRPr="002C439E" w:rsidRDefault="00CA22CE" w:rsidP="002C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sz w:val="18"/>
        </w:rPr>
      </w:pPr>
      <w:hyperlink r:id="rId7" w:history="1">
        <w:r w:rsidR="002C439E" w:rsidRPr="002C439E">
          <w:rPr>
            <w:rStyle w:val="Hyperlink"/>
            <w:sz w:val="18"/>
          </w:rPr>
          <w:t>www.diagnose-funk.org</w:t>
        </w:r>
      </w:hyperlink>
    </w:p>
    <w:p w14:paraId="07709038" w14:textId="77777777" w:rsidR="00F2303D" w:rsidRPr="00F2303D" w:rsidRDefault="002C439E" w:rsidP="00F230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0000FF"/>
          <w:sz w:val="18"/>
          <w:u w:val="single"/>
        </w:rPr>
      </w:pPr>
      <w:r w:rsidRPr="001B027F">
        <w:rPr>
          <w:rStyle w:val="Hyperlink"/>
          <w:i/>
          <w:sz w:val="18"/>
        </w:rPr>
        <w:t>www.schutz-vor-strahlung.ch</w:t>
      </w:r>
    </w:p>
    <w:p w14:paraId="04595624" w14:textId="77777777" w:rsidR="00F2303D" w:rsidRPr="001B027F" w:rsidRDefault="00F2303D" w:rsidP="00F2303D">
      <w:pPr>
        <w:spacing w:line="276" w:lineRule="auto"/>
        <w:rPr>
          <w:i/>
        </w:rPr>
      </w:pPr>
    </w:p>
    <w:p w14:paraId="724A537B" w14:textId="77777777" w:rsidR="00F2303D" w:rsidRDefault="00F2303D" w:rsidP="00D7559C">
      <w:pPr>
        <w:pStyle w:val="FormatvorlageTextkrperRzVerdanaBlockZeilenabstand15Zeilen"/>
        <w:spacing w:line="276" w:lineRule="auto"/>
      </w:pPr>
      <w:r w:rsidRPr="00F2303D">
        <w:t>Laut einem Sachverständigen dürften für adaptive Antennen keine Richtungsabschwächungen in die Berechnung einfliessen, da die Orte mit empfindlicher Nutzung (OMEN</w:t>
      </w:r>
      <w:r>
        <w:t>)</w:t>
      </w:r>
      <w:r w:rsidRPr="00F2303D">
        <w:t xml:space="preserve"> diesen stetigen Richtungsänderungen ausgesetzt sind. Da es sich bei angegebener Antenne </w:t>
      </w:r>
      <w:r w:rsidR="00A8749F" w:rsidRPr="00A8749F">
        <w:rPr>
          <w:highlight w:val="yellow"/>
        </w:rPr>
        <w:t>Marke Typ XYZ</w:t>
      </w:r>
      <w:r w:rsidRPr="00F2303D">
        <w:t xml:space="preserve"> um eine adaptive Antenne handelt, sind sämtliche rechnerischen Prognosen ungültig und somit die rechnerischen Prognosen über dem definierten Grenzwert der NISV </w:t>
      </w:r>
      <w:r w:rsidR="00A8749F">
        <w:t xml:space="preserve">(CH-Verordnung über den Schutz vor nichtionisierender Strahlung) </w:t>
      </w:r>
      <w:r w:rsidRPr="00F2303D">
        <w:t>zu erwarten.</w:t>
      </w:r>
    </w:p>
    <w:p w14:paraId="28717C90" w14:textId="77777777" w:rsidR="00A8749F" w:rsidRDefault="00A8749F" w:rsidP="00D7559C">
      <w:pPr>
        <w:pStyle w:val="FormatvorlageTextkrperRzVerdanaBlockZeilenabstand15Zeilen"/>
        <w:spacing w:line="276" w:lineRule="auto"/>
      </w:pPr>
      <w:r>
        <w:t xml:space="preserve">Gemäss den nachfolgenden Berechnungen ist davon auszugehen, dass fehlerhafte Angaben auf dem Datenblatt der Baueingabe vorhanden sind. Die V/m Belastung in </w:t>
      </w:r>
      <w:r w:rsidRPr="00A8749F">
        <w:rPr>
          <w:highlight w:val="yellow"/>
        </w:rPr>
        <w:t>Adresse</w:t>
      </w:r>
      <w:r>
        <w:t xml:space="preserve"> überschreitet die Grenzwerte über das 5-fache! Deshalb ist davon auszugehen, dass in </w:t>
      </w:r>
      <w:r w:rsidRPr="00A8749F">
        <w:rPr>
          <w:highlight w:val="yellow"/>
        </w:rPr>
        <w:t>Adresse</w:t>
      </w:r>
      <w:r>
        <w:t xml:space="preserve"> die Grenzwerte ebenfalls weit überschritten werden. </w:t>
      </w:r>
    </w:p>
    <w:p w14:paraId="24C462ED" w14:textId="77777777" w:rsidR="00A8749F" w:rsidRDefault="00A8749F" w:rsidP="00D7559C">
      <w:pPr>
        <w:pStyle w:val="FormatvorlageTextkrperRzVerdanaBlockZeilenabstand15Zeilen"/>
        <w:spacing w:line="276" w:lineRule="auto"/>
      </w:pPr>
      <w:r>
        <w:t xml:space="preserve">Wir haben uns die Mühe gemacht, </w:t>
      </w:r>
      <w:r w:rsidRPr="00A8749F">
        <w:rPr>
          <w:highlight w:val="yellow"/>
        </w:rPr>
        <w:t>Adresse</w:t>
      </w:r>
      <w:r>
        <w:t xml:space="preserve"> mit den richtigen Sendeparametern nachzurechnen.</w:t>
      </w:r>
    </w:p>
    <w:p w14:paraId="1D13E3EF" w14:textId="77777777" w:rsidR="00A8749F" w:rsidRDefault="00A8749F" w:rsidP="00D7559C">
      <w:pPr>
        <w:pStyle w:val="FormatvorlageTextkrperRzVerdanaBlockZeilenabstand15Zeilen"/>
        <w:numPr>
          <w:ilvl w:val="0"/>
          <w:numId w:val="0"/>
        </w:numPr>
        <w:spacing w:line="276" w:lineRule="auto"/>
        <w:ind w:left="720"/>
        <w:jc w:val="left"/>
      </w:pPr>
      <w:r w:rsidRPr="00D41C72">
        <w:rPr>
          <w:u w:val="single"/>
        </w:rPr>
        <w:t>Konkret:</w:t>
      </w:r>
      <w:r w:rsidRPr="00D41C72">
        <w:br/>
      </w:r>
      <w:r w:rsidRPr="00B12501">
        <w:rPr>
          <w:highlight w:val="yellow"/>
        </w:rPr>
        <w:t>3G und 4G unverändert</w:t>
      </w:r>
      <w:r w:rsidRPr="00B12501">
        <w:rPr>
          <w:highlight w:val="yellow"/>
        </w:rPr>
        <w:br/>
        <w:t>5G jedoch mit 6000 Watt ERP</w:t>
      </w:r>
      <w:r w:rsidRPr="00B12501">
        <w:rPr>
          <w:highlight w:val="yellow"/>
        </w:rPr>
        <w:br/>
        <w:t>direkter Abstand 21.2m</w:t>
      </w:r>
      <w:r w:rsidRPr="00B12501">
        <w:rPr>
          <w:highlight w:val="yellow"/>
        </w:rPr>
        <w:br/>
        <w:t>Richtungsdämpfung Antenne 9 bei 5G = Null</w:t>
      </w:r>
      <w:r w:rsidRPr="00B12501">
        <w:rPr>
          <w:highlight w:val="yellow"/>
        </w:rPr>
        <w:br/>
        <w:t xml:space="preserve">ergibt an </w:t>
      </w:r>
      <w:r>
        <w:rPr>
          <w:highlight w:val="yellow"/>
        </w:rPr>
        <w:t>Adresse XYZ</w:t>
      </w:r>
      <w:r w:rsidRPr="00B12501">
        <w:rPr>
          <w:highlight w:val="yellow"/>
        </w:rPr>
        <w:t xml:space="preserve"> eine E-Feldstärke von </w:t>
      </w:r>
      <w:r w:rsidRPr="00B12501">
        <w:rPr>
          <w:b/>
          <w:bCs/>
          <w:highlight w:val="yellow"/>
        </w:rPr>
        <w:t>26.77 V/m</w:t>
      </w:r>
      <w:r w:rsidRPr="00B12501">
        <w:rPr>
          <w:highlight w:val="yellow"/>
        </w:rPr>
        <w:br/>
        <w:t xml:space="preserve">und dies bei einem Grenzwert von </w:t>
      </w:r>
      <w:r w:rsidRPr="00B12501">
        <w:rPr>
          <w:b/>
          <w:bCs/>
          <w:highlight w:val="yellow"/>
        </w:rPr>
        <w:t>5V/m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4"/>
        <w:gridCol w:w="6096"/>
        <w:gridCol w:w="937"/>
      </w:tblGrid>
      <w:tr w:rsidR="00A8749F" w:rsidRPr="00A8749F" w14:paraId="72A2AA1C" w14:textId="77777777" w:rsidTr="00A3673A">
        <w:tc>
          <w:tcPr>
            <w:tcW w:w="1134" w:type="dxa"/>
            <w:shd w:val="clear" w:color="auto" w:fill="auto"/>
          </w:tcPr>
          <w:p w14:paraId="1F1C0664" w14:textId="77777777" w:rsidR="00A8749F" w:rsidRPr="00A8749F" w:rsidRDefault="00A8749F" w:rsidP="00D7559C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A8749F">
              <w:rPr>
                <w:rFonts w:ascii="Verdana" w:hAnsi="Verdana" w:cs="Arial"/>
                <w:b/>
                <w:sz w:val="19"/>
                <w:szCs w:val="19"/>
              </w:rPr>
              <w:t>Beilage:</w:t>
            </w:r>
          </w:p>
        </w:tc>
        <w:tc>
          <w:tcPr>
            <w:tcW w:w="6096" w:type="dxa"/>
            <w:shd w:val="clear" w:color="auto" w:fill="auto"/>
          </w:tcPr>
          <w:p w14:paraId="112DF782" w14:textId="77777777" w:rsidR="00A8749F" w:rsidRPr="00A8749F" w:rsidRDefault="00A8749F" w:rsidP="00D7559C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A8749F">
              <w:rPr>
                <w:rFonts w:ascii="Verdana" w:hAnsi="Verdana" w:cs="Arial"/>
                <w:sz w:val="19"/>
                <w:szCs w:val="19"/>
              </w:rPr>
              <w:t xml:space="preserve">Zum Vergleich Thomas Fluri, </w:t>
            </w:r>
            <w:proofErr w:type="spellStart"/>
            <w:r w:rsidRPr="00A8749F">
              <w:rPr>
                <w:rFonts w:ascii="Verdana" w:hAnsi="Verdana" w:cs="Arial"/>
                <w:sz w:val="19"/>
                <w:szCs w:val="19"/>
              </w:rPr>
              <w:t>dipl.</w:t>
            </w:r>
            <w:proofErr w:type="spellEnd"/>
            <w:r w:rsidRPr="00A8749F">
              <w:rPr>
                <w:rFonts w:ascii="Verdana" w:hAnsi="Verdana" w:cs="Arial"/>
                <w:sz w:val="19"/>
                <w:szCs w:val="19"/>
              </w:rPr>
              <w:t xml:space="preserve"> Ing. ETH </w:t>
            </w:r>
          </w:p>
        </w:tc>
        <w:tc>
          <w:tcPr>
            <w:tcW w:w="937" w:type="dxa"/>
            <w:shd w:val="clear" w:color="auto" w:fill="auto"/>
          </w:tcPr>
          <w:p w14:paraId="2B7CED27" w14:textId="29F36E5E" w:rsidR="00A8749F" w:rsidRPr="00A8749F" w:rsidRDefault="00A8749F" w:rsidP="00D7559C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proofErr w:type="spellStart"/>
            <w:r w:rsidRPr="00A8749F">
              <w:rPr>
                <w:rFonts w:ascii="Verdana" w:hAnsi="Verdana" w:cs="Arial"/>
                <w:b/>
                <w:sz w:val="19"/>
                <w:szCs w:val="19"/>
              </w:rPr>
              <w:t>Dok</w:t>
            </w:r>
            <w:proofErr w:type="spellEnd"/>
            <w:r w:rsidRPr="00A8749F">
              <w:rPr>
                <w:rFonts w:ascii="Verdana" w:hAnsi="Verdana" w:cs="Arial"/>
                <w:b/>
                <w:sz w:val="19"/>
                <w:szCs w:val="19"/>
              </w:rPr>
              <w:t xml:space="preserve"> </w:t>
            </w:r>
            <w:r w:rsidR="00D7559C">
              <w:rPr>
                <w:rFonts w:ascii="Verdana" w:hAnsi="Verdana" w:cs="Arial"/>
                <w:b/>
                <w:sz w:val="19"/>
                <w:szCs w:val="19"/>
              </w:rPr>
              <w:t>5a</w:t>
            </w:r>
          </w:p>
        </w:tc>
      </w:tr>
    </w:tbl>
    <w:p w14:paraId="6564F62C" w14:textId="77777777" w:rsidR="00A8749F" w:rsidRDefault="00A8749F" w:rsidP="00D7559C">
      <w:pPr>
        <w:pStyle w:val="FormatvorlageTextkrperRzVerdanaBlockZeilenabstand15Zeilen"/>
        <w:numPr>
          <w:ilvl w:val="0"/>
          <w:numId w:val="0"/>
        </w:numPr>
        <w:spacing w:line="276" w:lineRule="auto"/>
        <w:ind w:left="720"/>
      </w:pPr>
    </w:p>
    <w:p w14:paraId="6D44D584" w14:textId="77777777" w:rsidR="00A8749F" w:rsidRDefault="00A8749F" w:rsidP="00D7559C">
      <w:pPr>
        <w:pStyle w:val="FormatvorlageTextkrperRzVerdanaBlockZeilenabstand15Zeilen"/>
        <w:numPr>
          <w:ilvl w:val="0"/>
          <w:numId w:val="0"/>
        </w:numPr>
        <w:spacing w:line="276" w:lineRule="auto"/>
        <w:ind w:left="720"/>
      </w:pPr>
    </w:p>
    <w:p w14:paraId="04C01980" w14:textId="77777777" w:rsidR="00A8749F" w:rsidRDefault="00A8749F" w:rsidP="00D7559C">
      <w:pPr>
        <w:pStyle w:val="FormatvorlageTextkrperRzVerdanaBlockZeilenabstand15Zeilen"/>
        <w:numPr>
          <w:ilvl w:val="0"/>
          <w:numId w:val="0"/>
        </w:numPr>
        <w:spacing w:line="276" w:lineRule="auto"/>
        <w:ind w:left="720"/>
      </w:pPr>
    </w:p>
    <w:p w14:paraId="589EF062" w14:textId="77777777" w:rsidR="002C439E" w:rsidRPr="00A8749F" w:rsidRDefault="00A8749F" w:rsidP="00D7559C">
      <w:pPr>
        <w:pStyle w:val="FormatvorlageTextkrperRzVerdanaBlockZeilenabstand15Zeilen"/>
        <w:spacing w:line="276" w:lineRule="auto"/>
      </w:pPr>
      <w:r>
        <w:lastRenderedPageBreak/>
        <w:t>Gemäss einem Sachverständen sind d</w:t>
      </w:r>
      <w:r w:rsidRPr="00F7718A">
        <w:t xml:space="preserve">ie im </w:t>
      </w:r>
      <w:r w:rsidRPr="00B12501">
        <w:rPr>
          <w:highlight w:val="yellow"/>
        </w:rPr>
        <w:t>Zusatzblatt 2 im 3600MHz-Band für adaptive 5G-Antennen deklarierten Sendeleistungen von 300 bzw. 400 Watt ERP pro Sektor</w:t>
      </w:r>
      <w:r w:rsidRPr="00D41C72">
        <w:t xml:space="preserve"> vollkommen unglaubwürdig. Mit diesen völlig ungenügenden Sendeleistungen kann in </w:t>
      </w:r>
      <w:r w:rsidRPr="00B12501">
        <w:rPr>
          <w:highlight w:val="yellow"/>
        </w:rPr>
        <w:t>Ort</w:t>
      </w:r>
      <w:r w:rsidRPr="00D41C72">
        <w:t xml:space="preserve">, wie nachfolgend dargelegt wird, kein 5G-Netz mit adaptiven Sendeantennen in der </w:t>
      </w:r>
      <w:r w:rsidRPr="00A8749F">
        <w:t>MIMO</w:t>
      </w:r>
      <w:r w:rsidRPr="00D41C72">
        <w:t xml:space="preserve">- und </w:t>
      </w:r>
      <w:proofErr w:type="spellStart"/>
      <w:r w:rsidRPr="00D41C72">
        <w:t>Beamformig</w:t>
      </w:r>
      <w:proofErr w:type="spellEnd"/>
      <w:r w:rsidRPr="00D41C72">
        <w:t>-Funktion betrieben werden.</w:t>
      </w:r>
    </w:p>
    <w:sectPr w:rsidR="002C439E" w:rsidRPr="00A8749F" w:rsidSect="001B027F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64B8" w14:textId="77777777" w:rsidR="00CA22CE" w:rsidRDefault="00CA22CE" w:rsidP="004C432B">
      <w:pPr>
        <w:spacing w:after="0" w:line="240" w:lineRule="auto"/>
      </w:pPr>
      <w:r>
        <w:separator/>
      </w:r>
    </w:p>
  </w:endnote>
  <w:endnote w:type="continuationSeparator" w:id="0">
    <w:p w14:paraId="15CFA1CF" w14:textId="77777777" w:rsidR="00CA22CE" w:rsidRDefault="00CA22CE" w:rsidP="004C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Trebuchet MS"/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77DE" w14:textId="77777777" w:rsidR="00CA22CE" w:rsidRDefault="00CA22CE" w:rsidP="004C432B">
      <w:pPr>
        <w:spacing w:after="0" w:line="240" w:lineRule="auto"/>
      </w:pPr>
      <w:r>
        <w:separator/>
      </w:r>
    </w:p>
  </w:footnote>
  <w:footnote w:type="continuationSeparator" w:id="0">
    <w:p w14:paraId="48BB2266" w14:textId="77777777" w:rsidR="00CA22CE" w:rsidRDefault="00CA22CE" w:rsidP="004C4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4F0A"/>
    <w:multiLevelType w:val="hybridMultilevel"/>
    <w:tmpl w:val="13E6D6A4"/>
    <w:lvl w:ilvl="0" w:tplc="288013EE">
      <w:start w:val="4"/>
      <w:numFmt w:val="decimal"/>
      <w:lvlText w:val="%1."/>
      <w:lvlJc w:val="left"/>
      <w:pPr>
        <w:ind w:left="502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200EA2"/>
    <w:multiLevelType w:val="hybridMultilevel"/>
    <w:tmpl w:val="19A06460"/>
    <w:lvl w:ilvl="0" w:tplc="9AF2D3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11679"/>
    <w:multiLevelType w:val="hybridMultilevel"/>
    <w:tmpl w:val="9A46205A"/>
    <w:lvl w:ilvl="0" w:tplc="5D6E993E">
      <w:start w:val="1"/>
      <w:numFmt w:val="decimal"/>
      <w:pStyle w:val="TextkrperRz"/>
      <w:lvlText w:val="%1"/>
      <w:lvlJc w:val="left"/>
      <w:pPr>
        <w:ind w:left="720" w:hanging="360"/>
      </w:pPr>
      <w:rPr>
        <w:rFonts w:hint="default"/>
        <w:sz w:val="16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39E5"/>
    <w:multiLevelType w:val="hybridMultilevel"/>
    <w:tmpl w:val="C7349872"/>
    <w:lvl w:ilvl="0" w:tplc="08D635D6">
      <w:start w:val="5"/>
      <w:numFmt w:val="decimal"/>
      <w:lvlText w:val="%1."/>
      <w:lvlJc w:val="left"/>
      <w:pPr>
        <w:ind w:left="502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92A72E4"/>
    <w:multiLevelType w:val="multilevel"/>
    <w:tmpl w:val="592A72E4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65344D98"/>
    <w:multiLevelType w:val="hybridMultilevel"/>
    <w:tmpl w:val="61A80040"/>
    <w:lvl w:ilvl="0" w:tplc="6F7C6586">
      <w:start w:val="2"/>
      <w:numFmt w:val="decimal"/>
      <w:lvlText w:val="%1."/>
      <w:lvlJc w:val="left"/>
      <w:pPr>
        <w:ind w:left="502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80606FC"/>
    <w:multiLevelType w:val="hybridMultilevel"/>
    <w:tmpl w:val="56C4F43E"/>
    <w:lvl w:ilvl="0" w:tplc="9F1ED7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62382"/>
    <w:multiLevelType w:val="hybridMultilevel"/>
    <w:tmpl w:val="7ED2B3D4"/>
    <w:lvl w:ilvl="0" w:tplc="ACB4FC7A">
      <w:start w:val="3"/>
      <w:numFmt w:val="decimal"/>
      <w:lvlText w:val="%1."/>
      <w:lvlJc w:val="left"/>
      <w:pPr>
        <w:ind w:left="502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4A4035"/>
    <w:multiLevelType w:val="hybridMultilevel"/>
    <w:tmpl w:val="34D88C3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601A3"/>
    <w:multiLevelType w:val="hybridMultilevel"/>
    <w:tmpl w:val="962469EE"/>
    <w:lvl w:ilvl="0" w:tplc="AF027D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B3"/>
    <w:rsid w:val="00025BFB"/>
    <w:rsid w:val="001B027F"/>
    <w:rsid w:val="002977BE"/>
    <w:rsid w:val="002C439E"/>
    <w:rsid w:val="00346E37"/>
    <w:rsid w:val="00385493"/>
    <w:rsid w:val="003B64C7"/>
    <w:rsid w:val="003D46A1"/>
    <w:rsid w:val="00424E3A"/>
    <w:rsid w:val="004861FC"/>
    <w:rsid w:val="004C432B"/>
    <w:rsid w:val="007E36B3"/>
    <w:rsid w:val="00864D28"/>
    <w:rsid w:val="00901386"/>
    <w:rsid w:val="009C4780"/>
    <w:rsid w:val="00A27A01"/>
    <w:rsid w:val="00A30744"/>
    <w:rsid w:val="00A67B5A"/>
    <w:rsid w:val="00A8749F"/>
    <w:rsid w:val="00AC2C66"/>
    <w:rsid w:val="00C0118D"/>
    <w:rsid w:val="00CA22CE"/>
    <w:rsid w:val="00D2464C"/>
    <w:rsid w:val="00D7559C"/>
    <w:rsid w:val="00F2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00561"/>
  <w15:chartTrackingRefBased/>
  <w15:docId w15:val="{F21A9173-7711-4A1C-A0BB-FCFB1B02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E3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7E36B3"/>
    <w:pPr>
      <w:spacing w:line="256" w:lineRule="auto"/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E36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85493"/>
    <w:rPr>
      <w:color w:val="0000FF"/>
      <w:u w:val="single"/>
    </w:rPr>
  </w:style>
  <w:style w:type="paragraph" w:customStyle="1" w:styleId="TextkrperRz">
    <w:name w:val="Textkörper Rz"/>
    <w:basedOn w:val="Textkrper"/>
    <w:qFormat/>
    <w:rsid w:val="00A27A01"/>
    <w:pPr>
      <w:numPr>
        <w:numId w:val="4"/>
      </w:numPr>
      <w:spacing w:before="180" w:after="180" w:line="288" w:lineRule="auto"/>
    </w:pPr>
    <w:rPr>
      <w:rFonts w:ascii="Raleway" w:eastAsia="Times New Roman" w:hAnsi="Raleway" w:cs="Times New Roman"/>
      <w:lang w:eastAsia="de-CH"/>
    </w:rPr>
  </w:style>
  <w:style w:type="paragraph" w:customStyle="1" w:styleId="FormatvorlageTextkrperRzVerdanaBlockZeilenabstand15Zeilen">
    <w:name w:val="Formatvorlage Textkörper Rz + Verdana Block Zeilenabstand:  1.5 Zeilen"/>
    <w:basedOn w:val="TextkrperRz"/>
    <w:rsid w:val="00A27A01"/>
    <w:pPr>
      <w:spacing w:after="240" w:line="360" w:lineRule="auto"/>
      <w:jc w:val="both"/>
    </w:pPr>
    <w:rPr>
      <w:rFonts w:ascii="Verdana" w:hAnsi="Verdana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A27A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27A01"/>
  </w:style>
  <w:style w:type="table" w:styleId="Tabellenraster">
    <w:name w:val="Table Grid"/>
    <w:basedOn w:val="NormaleTabelle"/>
    <w:uiPriority w:val="39"/>
    <w:qFormat/>
    <w:rsid w:val="001B027F"/>
    <w:pPr>
      <w:spacing w:after="0" w:line="240" w:lineRule="auto"/>
    </w:pPr>
    <w:rPr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1B027F"/>
  </w:style>
  <w:style w:type="paragraph" w:styleId="Funotentext">
    <w:name w:val="footnote text"/>
    <w:basedOn w:val="Standard"/>
    <w:link w:val="FunotentextZchn"/>
    <w:uiPriority w:val="99"/>
    <w:unhideWhenUsed/>
    <w:rsid w:val="004C4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C432B"/>
    <w:rPr>
      <w:rFonts w:ascii="Times New Roman" w:eastAsia="Times New Roman" w:hAnsi="Times New Roman" w:cs="Times New Roman"/>
      <w:sz w:val="20"/>
      <w:szCs w:val="20"/>
      <w:lang w:val="de-DE" w:eastAsia="de-CH"/>
    </w:rPr>
  </w:style>
  <w:style w:type="character" w:styleId="Funotenzeichen">
    <w:name w:val="footnote reference"/>
    <w:uiPriority w:val="99"/>
    <w:unhideWhenUsed/>
    <w:rsid w:val="004C43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agnose-fun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2285</Characters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2021-03-31T09:12:00Z</dcterms:created>
  <dcterms:modified xsi:type="dcterms:W3CDTF">2021-04-17T07:33:00Z</dcterms:modified>
</cp:coreProperties>
</file>